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12"/>
        <w:gridCol w:w="3827"/>
        <w:gridCol w:w="2835"/>
      </w:tblGrid>
      <w:tr w:rsidR="004D3FBF" w:rsidRPr="004D3FBF" w:rsidTr="00094818">
        <w:trPr>
          <w:trHeight w:val="1162"/>
        </w:trPr>
        <w:tc>
          <w:tcPr>
            <w:tcW w:w="2512" w:type="dxa"/>
            <w:vMerge w:val="restart"/>
            <w:tcBorders>
              <w:top w:val="thickThinSmallGap" w:sz="1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4D3FBF" w:rsidRPr="004D3FBF" w:rsidRDefault="004D3FBF" w:rsidP="004D3FBF">
            <w:pPr>
              <w:wordWrap/>
              <w:snapToGrid w:val="0"/>
              <w:spacing w:line="384" w:lineRule="auto"/>
              <w:jc w:val="center"/>
              <w:textAlignment w:val="baseline"/>
              <w:rPr>
                <w:rFonts w:ascii="굴림" w:eastAsia="굴림" w:hAnsi="굴림" w:cs="굴림"/>
                <w:color w:val="000000"/>
                <w:kern w:val="0"/>
                <w:szCs w:val="20"/>
              </w:rPr>
            </w:pPr>
            <w:r w:rsidRPr="00E77034">
              <w:rPr>
                <w:rFonts w:ascii="굴림" w:eastAsia="굴림" w:hAnsi="굴림" w:cs="굴림"/>
                <w:noProof/>
                <w:color w:val="000000"/>
                <w:kern w:val="0"/>
                <w:szCs w:val="20"/>
              </w:rPr>
              <w:drawing>
                <wp:anchor distT="0" distB="0" distL="114300" distR="114300" simplePos="0" relativeHeight="251658240" behindDoc="0" locked="0" layoutInCell="1" allowOverlap="1">
                  <wp:simplePos x="0" y="0"/>
                  <wp:positionH relativeFrom="page">
                    <wp:posOffset>-200025</wp:posOffset>
                  </wp:positionH>
                  <wp:positionV relativeFrom="page">
                    <wp:posOffset>200025</wp:posOffset>
                  </wp:positionV>
                  <wp:extent cx="1714500" cy="809625"/>
                  <wp:effectExtent l="19050" t="0" r="0" b="0"/>
                  <wp:wrapNone/>
                  <wp:docPr id="2" name="_x158153000" descr="EMB00000e5c3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8153000" descr="EMB00000e5c3d1e"/>
                          <pic:cNvPicPr>
                            <a:picLocks noChangeAspect="1" noChangeArrowheads="1"/>
                          </pic:cNvPicPr>
                        </pic:nvPicPr>
                        <pic:blipFill>
                          <a:blip r:embed="rId8"/>
                          <a:srcRect/>
                          <a:stretch>
                            <a:fillRect/>
                          </a:stretch>
                        </pic:blipFill>
                        <pic:spPr bwMode="auto">
                          <a:xfrm>
                            <a:off x="0" y="0"/>
                            <a:ext cx="1714500" cy="809625"/>
                          </a:xfrm>
                          <a:prstGeom prst="rect">
                            <a:avLst/>
                          </a:prstGeom>
                          <a:noFill/>
                        </pic:spPr>
                      </pic:pic>
                    </a:graphicData>
                  </a:graphic>
                </wp:anchor>
              </w:drawing>
            </w:r>
          </w:p>
        </w:tc>
        <w:tc>
          <w:tcPr>
            <w:tcW w:w="3827" w:type="dxa"/>
            <w:vMerge w:val="restart"/>
            <w:tcBorders>
              <w:top w:val="thickThinSmallGap"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4D3FBF" w:rsidRPr="004D3FBF" w:rsidRDefault="004D3FBF" w:rsidP="004D3FBF">
            <w:pPr>
              <w:wordWrap/>
              <w:snapToGrid w:val="0"/>
              <w:spacing w:before="200"/>
              <w:jc w:val="center"/>
              <w:textAlignment w:val="baseline"/>
              <w:rPr>
                <w:rFonts w:ascii="굴림" w:eastAsia="굴림" w:hAnsi="굴림" w:cs="굴림"/>
                <w:color w:val="000000"/>
                <w:kern w:val="0"/>
                <w:szCs w:val="20"/>
              </w:rPr>
            </w:pPr>
            <w:r w:rsidRPr="004D3FBF">
              <w:rPr>
                <w:rFonts w:ascii="굴림" w:eastAsia="휴먼둥근헤드라인" w:hAnsi="굴림" w:cs="굴림"/>
                <w:color w:val="000000"/>
                <w:spacing w:val="-28"/>
                <w:kern w:val="0"/>
                <w:sz w:val="24"/>
                <w:szCs w:val="24"/>
              </w:rPr>
              <w:t>제</w:t>
            </w:r>
            <w:r w:rsidRPr="004D3FBF">
              <w:rPr>
                <w:rFonts w:ascii="휴먼둥근헤드라인" w:eastAsia="휴먼둥근헤드라인" w:hAnsi="굴림" w:cs="굴림" w:hint="eastAsia"/>
                <w:color w:val="000000"/>
                <w:spacing w:val="-28"/>
                <w:kern w:val="0"/>
                <w:sz w:val="24"/>
                <w:szCs w:val="24"/>
              </w:rPr>
              <w:t>7</w:t>
            </w:r>
            <w:r w:rsidRPr="004D3FBF">
              <w:rPr>
                <w:rFonts w:ascii="굴림" w:eastAsia="휴먼둥근헤드라인" w:hAnsi="굴림" w:cs="굴림"/>
                <w:color w:val="000000"/>
                <w:spacing w:val="-28"/>
                <w:kern w:val="0"/>
                <w:sz w:val="24"/>
                <w:szCs w:val="24"/>
              </w:rPr>
              <w:t>회</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평화와</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번영을</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위한</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제주포럼</w:t>
            </w:r>
          </w:p>
          <w:p w:rsidR="004D3FBF" w:rsidRPr="004D3FBF" w:rsidRDefault="004D3FBF" w:rsidP="004D3FBF">
            <w:pPr>
              <w:wordWrap/>
              <w:snapToGrid w:val="0"/>
              <w:spacing w:before="200"/>
              <w:jc w:val="center"/>
              <w:textAlignment w:val="baseline"/>
              <w:rPr>
                <w:rFonts w:ascii="굴림" w:eastAsia="굴림" w:hAnsi="굴림" w:cs="굴림"/>
                <w:color w:val="000000"/>
                <w:kern w:val="0"/>
                <w:szCs w:val="20"/>
              </w:rPr>
            </w:pPr>
            <w:r w:rsidRPr="004D3FBF">
              <w:rPr>
                <w:rFonts w:ascii="굴림" w:eastAsia="휴먼엑스포" w:hAnsi="굴림" w:cs="굴림"/>
                <w:color w:val="000000"/>
                <w:spacing w:val="100"/>
                <w:kern w:val="0"/>
                <w:sz w:val="64"/>
                <w:szCs w:val="64"/>
              </w:rPr>
              <w:t>보도자료</w:t>
            </w:r>
          </w:p>
        </w:tc>
        <w:tc>
          <w:tcPr>
            <w:tcW w:w="2835" w:type="dxa"/>
            <w:tcBorders>
              <w:top w:val="thickThinSmallGap"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4D3FBF" w:rsidRPr="00094818" w:rsidRDefault="00ED57AF" w:rsidP="00094818">
            <w:pPr>
              <w:wordWrap/>
              <w:snapToGrid w:val="0"/>
              <w:jc w:val="center"/>
              <w:textAlignment w:val="baseline"/>
              <w:rPr>
                <w:rFonts w:ascii="휴먼둥근헤드라인" w:eastAsia="휴먼둥근헤드라인" w:hAnsi="굴림" w:cs="굴림"/>
                <w:b/>
                <w:color w:val="000000"/>
                <w:kern w:val="0"/>
                <w:szCs w:val="20"/>
              </w:rPr>
            </w:pPr>
            <w:r>
              <w:rPr>
                <w:rFonts w:ascii="휴먼둥근헤드라인" w:eastAsia="휴먼둥근헤드라인" w:hAnsi="굴림" w:cs="굴림" w:hint="eastAsia"/>
                <w:b/>
                <w:color w:val="000000"/>
                <w:kern w:val="0"/>
                <w:sz w:val="48"/>
                <w:szCs w:val="48"/>
              </w:rPr>
              <w:t>18</w:t>
            </w:r>
          </w:p>
        </w:tc>
      </w:tr>
      <w:tr w:rsidR="004D3FBF" w:rsidRPr="004D3FBF" w:rsidTr="004D3FBF">
        <w:trPr>
          <w:trHeight w:val="534"/>
        </w:trPr>
        <w:tc>
          <w:tcPr>
            <w:tcW w:w="2512" w:type="dxa"/>
            <w:vMerge/>
            <w:tcBorders>
              <w:top w:val="thickThinSmallGap" w:sz="12" w:space="0" w:color="000000"/>
              <w:left w:val="nil"/>
              <w:bottom w:val="single" w:sz="12" w:space="0" w:color="000000"/>
              <w:right w:val="single" w:sz="2" w:space="0" w:color="000000"/>
            </w:tcBorders>
            <w:vAlign w:val="center"/>
            <w:hideMark/>
          </w:tcPr>
          <w:p w:rsidR="004D3FBF" w:rsidRPr="004D3FBF" w:rsidRDefault="004D3FBF" w:rsidP="004D3FBF">
            <w:pPr>
              <w:widowControl/>
              <w:wordWrap/>
              <w:autoSpaceDE/>
              <w:autoSpaceDN/>
              <w:jc w:val="left"/>
              <w:rPr>
                <w:rFonts w:ascii="굴림" w:eastAsia="굴림" w:hAnsi="굴림" w:cs="굴림"/>
                <w:color w:val="000000"/>
                <w:kern w:val="0"/>
                <w:szCs w:val="20"/>
              </w:rPr>
            </w:pPr>
          </w:p>
        </w:tc>
        <w:tc>
          <w:tcPr>
            <w:tcW w:w="3827" w:type="dxa"/>
            <w:vMerge/>
            <w:tcBorders>
              <w:top w:val="thickThinSmallGap" w:sz="12" w:space="0" w:color="000000"/>
              <w:left w:val="single" w:sz="2" w:space="0" w:color="000000"/>
              <w:bottom w:val="single" w:sz="12" w:space="0" w:color="000000"/>
              <w:right w:val="single" w:sz="2" w:space="0" w:color="000000"/>
            </w:tcBorders>
            <w:vAlign w:val="center"/>
            <w:hideMark/>
          </w:tcPr>
          <w:p w:rsidR="004D3FBF" w:rsidRPr="004D3FBF" w:rsidRDefault="004D3FBF" w:rsidP="004D3FBF">
            <w:pPr>
              <w:widowControl/>
              <w:wordWrap/>
              <w:autoSpaceDE/>
              <w:autoSpaceDN/>
              <w:jc w:val="left"/>
              <w:rPr>
                <w:rFonts w:ascii="굴림" w:eastAsia="굴림" w:hAnsi="굴림" w:cs="굴림"/>
                <w:color w:val="000000"/>
                <w:kern w:val="0"/>
                <w:szCs w:val="20"/>
              </w:rPr>
            </w:pPr>
          </w:p>
        </w:tc>
        <w:tc>
          <w:tcPr>
            <w:tcW w:w="2835" w:type="dxa"/>
            <w:tcBorders>
              <w:top w:val="single"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4D3FBF" w:rsidRPr="004D3FBF" w:rsidRDefault="004D3FBF" w:rsidP="004445BD">
            <w:pPr>
              <w:wordWrap/>
              <w:snapToGrid w:val="0"/>
              <w:spacing w:line="384" w:lineRule="auto"/>
              <w:jc w:val="center"/>
              <w:textAlignment w:val="baseline"/>
              <w:rPr>
                <w:rFonts w:ascii="굴림" w:eastAsia="굴림" w:hAnsi="굴림" w:cs="굴림"/>
                <w:color w:val="000000"/>
                <w:kern w:val="0"/>
                <w:szCs w:val="20"/>
              </w:rPr>
            </w:pPr>
            <w:r w:rsidRPr="004D3FBF">
              <w:rPr>
                <w:rFonts w:ascii="휴먼모음T" w:eastAsia="휴먼모음T" w:hAnsi="굴림" w:cs="굴림" w:hint="eastAsia"/>
                <w:bCs/>
                <w:color w:val="000000"/>
                <w:kern w:val="0"/>
                <w:sz w:val="28"/>
                <w:szCs w:val="28"/>
              </w:rPr>
              <w:t xml:space="preserve">2012. </w:t>
            </w:r>
            <w:r w:rsidR="004445BD">
              <w:rPr>
                <w:rFonts w:ascii="휴먼모음T" w:eastAsia="휴먼모음T" w:hAnsi="굴림" w:cs="굴림" w:hint="eastAsia"/>
                <w:bCs/>
                <w:color w:val="000000"/>
                <w:kern w:val="0"/>
                <w:sz w:val="28"/>
                <w:szCs w:val="28"/>
              </w:rPr>
              <w:t>6</w:t>
            </w:r>
            <w:r w:rsidRPr="004D3FBF">
              <w:rPr>
                <w:rFonts w:ascii="휴먼모음T" w:eastAsia="휴먼모음T" w:hAnsi="굴림" w:cs="굴림" w:hint="eastAsia"/>
                <w:bCs/>
                <w:color w:val="000000"/>
                <w:kern w:val="0"/>
                <w:sz w:val="28"/>
                <w:szCs w:val="28"/>
              </w:rPr>
              <w:t xml:space="preserve">. </w:t>
            </w:r>
            <w:r w:rsidR="00805328">
              <w:rPr>
                <w:rFonts w:ascii="휴먼모음T" w:eastAsia="휴먼모음T" w:hAnsi="굴림" w:cs="굴림" w:hint="eastAsia"/>
                <w:bCs/>
                <w:color w:val="000000"/>
                <w:kern w:val="0"/>
                <w:sz w:val="28"/>
                <w:szCs w:val="28"/>
              </w:rPr>
              <w:t>1</w:t>
            </w:r>
            <w:r w:rsidRPr="004D3FBF">
              <w:rPr>
                <w:rFonts w:ascii="휴먼모음T" w:eastAsia="휴먼모음T" w:hAnsi="굴림" w:cs="굴림" w:hint="eastAsia"/>
                <w:bCs/>
                <w:color w:val="000000"/>
                <w:kern w:val="0"/>
                <w:sz w:val="28"/>
                <w:szCs w:val="28"/>
              </w:rPr>
              <w:t>(</w:t>
            </w:r>
            <w:r w:rsidR="004445BD">
              <w:rPr>
                <w:rFonts w:ascii="휴먼모음T" w:eastAsia="휴먼모음T" w:hAnsi="굴림" w:cs="굴림" w:hint="eastAsia"/>
                <w:bCs/>
                <w:color w:val="000000"/>
                <w:kern w:val="0"/>
                <w:sz w:val="28"/>
                <w:szCs w:val="28"/>
              </w:rPr>
              <w:t>금</w:t>
            </w:r>
            <w:r w:rsidRPr="004D3FBF">
              <w:rPr>
                <w:rFonts w:ascii="휴먼모음T" w:eastAsia="휴먼모음T" w:hAnsi="굴림" w:cs="굴림" w:hint="eastAsia"/>
                <w:bCs/>
                <w:color w:val="000000"/>
                <w:kern w:val="0"/>
                <w:sz w:val="28"/>
                <w:szCs w:val="28"/>
              </w:rPr>
              <w:t>)</w:t>
            </w:r>
          </w:p>
        </w:tc>
      </w:tr>
      <w:tr w:rsidR="004D3FBF" w:rsidRPr="004D3FBF" w:rsidTr="004D3FBF">
        <w:trPr>
          <w:trHeight w:val="596"/>
        </w:trPr>
        <w:tc>
          <w:tcPr>
            <w:tcW w:w="9174" w:type="dxa"/>
            <w:gridSpan w:val="3"/>
            <w:tcBorders>
              <w:top w:val="single" w:sz="12" w:space="0" w:color="000000"/>
              <w:left w:val="nil"/>
              <w:bottom w:val="thinThickSmallGap" w:sz="12" w:space="0" w:color="000000"/>
              <w:right w:val="nil"/>
            </w:tcBorders>
            <w:tcMar>
              <w:top w:w="28" w:type="dxa"/>
              <w:left w:w="102" w:type="dxa"/>
              <w:bottom w:w="28" w:type="dxa"/>
              <w:right w:w="102" w:type="dxa"/>
            </w:tcMar>
            <w:vAlign w:val="center"/>
            <w:hideMark/>
          </w:tcPr>
          <w:p w:rsidR="004D3FBF" w:rsidRPr="004D3FBF" w:rsidRDefault="004D3FBF" w:rsidP="004D3FBF">
            <w:pPr>
              <w:wordWrap/>
              <w:snapToGrid w:val="0"/>
              <w:spacing w:before="100" w:line="312" w:lineRule="auto"/>
              <w:jc w:val="center"/>
              <w:textAlignment w:val="baseline"/>
              <w:rPr>
                <w:rFonts w:ascii="굴림" w:eastAsia="굴림" w:hAnsi="굴림" w:cs="굴림"/>
                <w:color w:val="000000"/>
                <w:kern w:val="0"/>
                <w:szCs w:val="20"/>
              </w:rPr>
            </w:pPr>
            <w:r w:rsidRPr="004D3FBF">
              <w:rPr>
                <w:rFonts w:ascii="휴먼모음T" w:eastAsia="휴먼모음T" w:hAnsi="굴림" w:cs="굴림" w:hint="eastAsia"/>
                <w:color w:val="000000"/>
                <w:kern w:val="0"/>
                <w:sz w:val="24"/>
                <w:szCs w:val="24"/>
              </w:rPr>
              <w:t xml:space="preserve">Press Center </w:t>
            </w:r>
            <w:r w:rsidRPr="004D3FBF">
              <w:rPr>
                <w:rFonts w:ascii="굴림" w:eastAsia="휴먼모음T" w:hAnsi="굴림" w:cs="굴림"/>
                <w:color w:val="000000"/>
                <w:kern w:val="0"/>
                <w:sz w:val="24"/>
                <w:szCs w:val="24"/>
              </w:rPr>
              <w:t>전화</w:t>
            </w:r>
            <w:r w:rsidRPr="004D3FBF">
              <w:rPr>
                <w:rFonts w:ascii="굴림" w:eastAsia="휴먼모음T" w:hAnsi="굴림" w:cs="굴림"/>
                <w:color w:val="000000"/>
                <w:kern w:val="0"/>
                <w:sz w:val="24"/>
                <w:szCs w:val="24"/>
              </w:rPr>
              <w:t xml:space="preserve"> </w:t>
            </w:r>
            <w:r w:rsidRPr="004D3FBF">
              <w:rPr>
                <w:rFonts w:ascii="휴먼모음T" w:eastAsia="휴먼모음T" w:hAnsi="굴림" w:cs="굴림" w:hint="eastAsia"/>
                <w:color w:val="000000"/>
                <w:kern w:val="0"/>
                <w:sz w:val="24"/>
                <w:szCs w:val="24"/>
              </w:rPr>
              <w:t xml:space="preserve">(064) 780-8471 / </w:t>
            </w:r>
            <w:r w:rsidRPr="004D3FBF">
              <w:rPr>
                <w:rFonts w:ascii="굴림" w:eastAsia="휴먼모음T" w:hAnsi="굴림" w:cs="굴림"/>
                <w:color w:val="000000"/>
                <w:kern w:val="0"/>
                <w:sz w:val="24"/>
                <w:szCs w:val="24"/>
              </w:rPr>
              <w:t>팩스</w:t>
            </w:r>
            <w:r w:rsidRPr="004D3FBF">
              <w:rPr>
                <w:rFonts w:ascii="굴림" w:eastAsia="휴먼모음T" w:hAnsi="굴림" w:cs="굴림"/>
                <w:color w:val="000000"/>
                <w:kern w:val="0"/>
                <w:sz w:val="24"/>
                <w:szCs w:val="24"/>
              </w:rPr>
              <w:t xml:space="preserve"> </w:t>
            </w:r>
            <w:r w:rsidRPr="004D3FBF">
              <w:rPr>
                <w:rFonts w:ascii="휴먼모음T" w:eastAsia="휴먼모음T" w:hAnsi="굴림" w:cs="굴림" w:hint="eastAsia"/>
                <w:color w:val="000000"/>
                <w:kern w:val="0"/>
                <w:sz w:val="24"/>
                <w:szCs w:val="24"/>
              </w:rPr>
              <w:t>(064) 780-8466</w:t>
            </w:r>
          </w:p>
        </w:tc>
      </w:tr>
    </w:tbl>
    <w:p w:rsidR="004D3FBF" w:rsidRPr="00E77034" w:rsidRDefault="004D3FBF" w:rsidP="004D3FBF">
      <w:pPr>
        <w:pStyle w:val="a3"/>
        <w:snapToGrid/>
      </w:pPr>
    </w:p>
    <w:p w:rsidR="004D3FBF" w:rsidRPr="00E77034" w:rsidRDefault="00851313" w:rsidP="004D3FBF">
      <w:pPr>
        <w:pStyle w:val="a3"/>
        <w:snapToGrid/>
      </w:pPr>
      <w:r>
        <w:pict>
          <v:roundrect id="_x158698704" o:spid="_x0000_s1026" style="width:459pt;height:38.05pt;mso-position-horizontal-relative:char;mso-position-vertical-relative:line;v-text-anchor:middle" arcsize="13107f" fillcolor="#d6d6d6" strokeweight=".33pt">
            <v:fill opacity="58982f" color2="black"/>
            <v:textbox>
              <w:txbxContent>
                <w:p w:rsidR="00587703" w:rsidRDefault="00587703" w:rsidP="00587703">
                  <w:pPr>
                    <w:pStyle w:val="a3"/>
                    <w:wordWrap/>
                    <w:jc w:val="center"/>
                  </w:pPr>
                  <w:r>
                    <w:rPr>
                      <w:rFonts w:eastAsia="휴먼모음T"/>
                      <w:sz w:val="40"/>
                      <w:szCs w:val="40"/>
                    </w:rPr>
                    <w:t>지속경영의</w:t>
                  </w:r>
                  <w:r>
                    <w:rPr>
                      <w:rFonts w:eastAsia="휴먼모음T"/>
                      <w:sz w:val="40"/>
                      <w:szCs w:val="40"/>
                    </w:rPr>
                    <w:t xml:space="preserve"> </w:t>
                  </w:r>
                  <w:r>
                    <w:rPr>
                      <w:rFonts w:eastAsia="휴먼모음T"/>
                      <w:sz w:val="40"/>
                      <w:szCs w:val="40"/>
                    </w:rPr>
                    <w:t>글로벌</w:t>
                  </w:r>
                  <w:r>
                    <w:rPr>
                      <w:rFonts w:eastAsia="휴먼모음T"/>
                      <w:sz w:val="40"/>
                      <w:szCs w:val="40"/>
                    </w:rPr>
                    <w:t xml:space="preserve"> </w:t>
                  </w:r>
                  <w:r>
                    <w:rPr>
                      <w:rFonts w:eastAsia="휴먼모음T"/>
                      <w:sz w:val="40"/>
                      <w:szCs w:val="40"/>
                    </w:rPr>
                    <w:t>트렌드</w:t>
                  </w:r>
                  <w:r>
                    <w:rPr>
                      <w:rFonts w:eastAsia="휴먼모음T" w:hAnsi="휴먼모음T"/>
                      <w:sz w:val="40"/>
                      <w:szCs w:val="40"/>
                    </w:rPr>
                    <w:t>Ⅰ</w:t>
                  </w:r>
                </w:p>
                <w:p w:rsidR="004D3FBF" w:rsidRPr="00587703" w:rsidRDefault="004D3FBF" w:rsidP="0011409D"/>
              </w:txbxContent>
            </v:textbox>
            <w10:wrap type="none" anchorx="page" anchory="page"/>
            <w10:anchorlock/>
          </v:roundrect>
        </w:pict>
      </w:r>
    </w:p>
    <w:p w:rsidR="004D3FBF" w:rsidRPr="00E77034" w:rsidRDefault="004D3FBF" w:rsidP="004D3FBF">
      <w:pPr>
        <w:widowControl/>
        <w:wordWrap/>
        <w:autoSpaceDE/>
        <w:autoSpaceDN/>
        <w:snapToGrid w:val="0"/>
        <w:rPr>
          <w:rFonts w:eastAsiaTheme="minorHAnsi" w:cs="굴림"/>
          <w:bCs/>
          <w:color w:val="000000"/>
          <w:kern w:val="0"/>
          <w:sz w:val="24"/>
          <w:szCs w:val="20"/>
        </w:rPr>
      </w:pPr>
    </w:p>
    <w:p w:rsidR="004D3FBF" w:rsidRPr="00E77034" w:rsidRDefault="004D3FBF" w:rsidP="002142E8">
      <w:pPr>
        <w:widowControl/>
        <w:wordWrap/>
        <w:autoSpaceDE/>
        <w:autoSpaceDN/>
        <w:snapToGrid w:val="0"/>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역할 참가자</w:t>
      </w:r>
    </w:p>
    <w:p w:rsidR="001C088C" w:rsidRPr="001C088C" w:rsidRDefault="001C088C" w:rsidP="001C088C">
      <w:pPr>
        <w:spacing w:line="276" w:lineRule="auto"/>
        <w:ind w:leftChars="100" w:left="200"/>
        <w:rPr>
          <w:sz w:val="22"/>
        </w:rPr>
      </w:pPr>
      <w:r w:rsidRPr="001C088C">
        <w:rPr>
          <w:rFonts w:hint="eastAsia"/>
          <w:b/>
          <w:sz w:val="22"/>
        </w:rPr>
        <w:t xml:space="preserve">사회: </w:t>
      </w:r>
      <w:r w:rsidRPr="001C088C">
        <w:rPr>
          <w:rFonts w:hint="eastAsia"/>
          <w:sz w:val="22"/>
        </w:rPr>
        <w:t>최은수</w:t>
      </w:r>
      <w:r>
        <w:rPr>
          <w:rFonts w:hint="eastAsia"/>
          <w:sz w:val="22"/>
        </w:rPr>
        <w:t xml:space="preserve"> (MBN 시사기획부 부장)</w:t>
      </w:r>
    </w:p>
    <w:p w:rsidR="001C088C" w:rsidRDefault="001C088C" w:rsidP="001C088C">
      <w:pPr>
        <w:spacing w:line="276" w:lineRule="auto"/>
        <w:ind w:leftChars="100" w:left="200"/>
        <w:rPr>
          <w:rFonts w:hint="eastAsia"/>
          <w:sz w:val="22"/>
        </w:rPr>
      </w:pPr>
      <w:r w:rsidRPr="001C088C">
        <w:rPr>
          <w:rFonts w:hint="eastAsia"/>
          <w:b/>
          <w:sz w:val="22"/>
        </w:rPr>
        <w:t xml:space="preserve">발표: </w:t>
      </w:r>
      <w:r w:rsidRPr="001C088C">
        <w:rPr>
          <w:rFonts w:hint="eastAsia"/>
          <w:sz w:val="22"/>
        </w:rPr>
        <w:t>조동성(서울대학교 교수)</w:t>
      </w:r>
    </w:p>
    <w:p w:rsidR="001C088C" w:rsidRPr="001C088C" w:rsidRDefault="001C088C" w:rsidP="001C088C">
      <w:pPr>
        <w:spacing w:line="276" w:lineRule="auto"/>
        <w:ind w:leftChars="100" w:left="200" w:firstLineChars="300" w:firstLine="660"/>
        <w:rPr>
          <w:sz w:val="22"/>
        </w:rPr>
      </w:pPr>
      <w:r w:rsidRPr="001C088C">
        <w:rPr>
          <w:rFonts w:hint="eastAsia"/>
          <w:sz w:val="22"/>
        </w:rPr>
        <w:t>박태진(대한상공회의소 지속가능경영원 원장)</w:t>
      </w:r>
    </w:p>
    <w:p w:rsidR="001C088C" w:rsidRPr="001C088C" w:rsidRDefault="001C088C" w:rsidP="001C088C">
      <w:pPr>
        <w:spacing w:line="276" w:lineRule="auto"/>
        <w:ind w:leftChars="100" w:left="200" w:firstLineChars="300" w:firstLine="660"/>
        <w:rPr>
          <w:sz w:val="22"/>
        </w:rPr>
      </w:pPr>
      <w:r w:rsidRPr="001C088C">
        <w:rPr>
          <w:rFonts w:hint="eastAsia"/>
          <w:sz w:val="22"/>
        </w:rPr>
        <w:t>최규복(유한킴벌리 대표이사 사장)</w:t>
      </w:r>
    </w:p>
    <w:p w:rsidR="001C088C" w:rsidRPr="001C088C" w:rsidRDefault="001C088C" w:rsidP="001C088C">
      <w:pPr>
        <w:spacing w:line="276" w:lineRule="auto"/>
        <w:ind w:leftChars="100" w:left="200" w:firstLineChars="300" w:firstLine="660"/>
        <w:rPr>
          <w:sz w:val="22"/>
        </w:rPr>
      </w:pPr>
      <w:r w:rsidRPr="001C088C">
        <w:rPr>
          <w:rFonts w:hint="eastAsia"/>
          <w:sz w:val="22"/>
        </w:rPr>
        <w:t>임정택(듀폰코리아 대표이사 사장)</w:t>
      </w:r>
    </w:p>
    <w:p w:rsidR="00E97300" w:rsidRPr="001C088C" w:rsidRDefault="00E97300" w:rsidP="002142E8">
      <w:pPr>
        <w:spacing w:line="276" w:lineRule="auto"/>
        <w:rPr>
          <w:sz w:val="22"/>
        </w:rPr>
      </w:pPr>
    </w:p>
    <w:p w:rsidR="004D3FBF" w:rsidRPr="00E77034" w:rsidRDefault="004D3FBF" w:rsidP="002142E8">
      <w:pPr>
        <w:wordWrap/>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xml:space="preserve">○ 핵심 사항(Key Points)  </w:t>
      </w:r>
    </w:p>
    <w:p w:rsidR="001C088C" w:rsidRPr="001C088C" w:rsidRDefault="001C088C" w:rsidP="001C088C">
      <w:pPr>
        <w:pStyle w:val="a4"/>
        <w:spacing w:line="276" w:lineRule="auto"/>
        <w:ind w:leftChars="100" w:left="200"/>
        <w:rPr>
          <w:sz w:val="22"/>
        </w:rPr>
      </w:pPr>
      <w:r w:rsidRPr="001C088C">
        <w:rPr>
          <w:rFonts w:hint="eastAsia"/>
          <w:sz w:val="22"/>
        </w:rPr>
        <w:t>-</w:t>
      </w:r>
      <w:r>
        <w:rPr>
          <w:rFonts w:hint="eastAsia"/>
          <w:sz w:val="22"/>
        </w:rPr>
        <w:t xml:space="preserve"> </w:t>
      </w:r>
      <w:r w:rsidRPr="001C088C">
        <w:rPr>
          <w:rFonts w:hint="eastAsia"/>
          <w:sz w:val="22"/>
        </w:rPr>
        <w:t>기업에게 경제,</w:t>
      </w:r>
      <w:r>
        <w:rPr>
          <w:rFonts w:hint="eastAsia"/>
          <w:sz w:val="22"/>
        </w:rPr>
        <w:t xml:space="preserve"> 사</w:t>
      </w:r>
      <w:r w:rsidRPr="001C088C">
        <w:rPr>
          <w:rFonts w:hint="eastAsia"/>
          <w:sz w:val="22"/>
        </w:rPr>
        <w:t>회,</w:t>
      </w:r>
      <w:r>
        <w:rPr>
          <w:rFonts w:hint="eastAsia"/>
          <w:sz w:val="22"/>
        </w:rPr>
        <w:t xml:space="preserve"> </w:t>
      </w:r>
      <w:r w:rsidRPr="001C088C">
        <w:rPr>
          <w:rFonts w:hint="eastAsia"/>
          <w:sz w:val="22"/>
        </w:rPr>
        <w:t>환경의 CSR을 달성할 수 있도록 하는 지속경영 보고 가이드 라인인 BEST</w:t>
      </w:r>
    </w:p>
    <w:p w:rsidR="001C088C" w:rsidRPr="001C088C" w:rsidRDefault="001C088C" w:rsidP="001C088C">
      <w:pPr>
        <w:pStyle w:val="a4"/>
        <w:spacing w:line="276" w:lineRule="auto"/>
        <w:ind w:leftChars="100" w:left="200"/>
        <w:rPr>
          <w:sz w:val="22"/>
        </w:rPr>
      </w:pPr>
      <w:r w:rsidRPr="001C088C">
        <w:rPr>
          <w:rFonts w:hint="eastAsia"/>
          <w:sz w:val="22"/>
        </w:rPr>
        <w:t>- 재무적 성과 뿐만이 아닌 비재무적 성과인 사회적 기업활동의 보고가 중요시 되는 글로벌 트랜드</w:t>
      </w:r>
    </w:p>
    <w:p w:rsidR="001C088C" w:rsidRPr="001C088C" w:rsidRDefault="001C088C" w:rsidP="001C088C">
      <w:pPr>
        <w:pStyle w:val="a4"/>
        <w:spacing w:line="276" w:lineRule="auto"/>
        <w:ind w:leftChars="100" w:left="200"/>
        <w:rPr>
          <w:sz w:val="22"/>
        </w:rPr>
      </w:pPr>
      <w:r w:rsidRPr="001C088C">
        <w:rPr>
          <w:rFonts w:hint="eastAsia"/>
          <w:sz w:val="22"/>
        </w:rPr>
        <w:t>-</w:t>
      </w:r>
      <w:r>
        <w:rPr>
          <w:rFonts w:hint="eastAsia"/>
          <w:sz w:val="22"/>
        </w:rPr>
        <w:t xml:space="preserve"> </w:t>
      </w:r>
      <w:r w:rsidRPr="001C088C">
        <w:rPr>
          <w:rFonts w:hint="eastAsia"/>
          <w:sz w:val="22"/>
        </w:rPr>
        <w:t>유한킴벌리의 지속경영은 우리강산 푸르게 푸르게의캠패인과 가족친화경영의 도입을 통해 달성하고자</w:t>
      </w:r>
      <w:r>
        <w:rPr>
          <w:rFonts w:hint="eastAsia"/>
          <w:sz w:val="22"/>
        </w:rPr>
        <w:t xml:space="preserve"> </w:t>
      </w:r>
      <w:r w:rsidRPr="001C088C">
        <w:rPr>
          <w:rFonts w:hint="eastAsia"/>
          <w:sz w:val="22"/>
        </w:rPr>
        <w:t>함.</w:t>
      </w:r>
    </w:p>
    <w:p w:rsidR="00E97300" w:rsidRPr="001C088C" w:rsidRDefault="001C088C" w:rsidP="001C088C">
      <w:pPr>
        <w:wordWrap/>
        <w:spacing w:line="276" w:lineRule="auto"/>
        <w:ind w:leftChars="100" w:left="200"/>
        <w:rPr>
          <w:rFonts w:eastAsiaTheme="minorHAnsi" w:cs="굴림"/>
          <w:bCs/>
          <w:color w:val="000000"/>
          <w:kern w:val="0"/>
          <w:sz w:val="22"/>
        </w:rPr>
      </w:pPr>
      <w:r w:rsidRPr="001C088C">
        <w:rPr>
          <w:rFonts w:hint="eastAsia"/>
          <w:sz w:val="22"/>
        </w:rPr>
        <w:t>- 듀폰 코리아의 지속경영에는 핵심가치인 safety and health(안전과 건강), environmental stewardship(환경적 책무), highest ethical behavior(윤리경영), respect for people(인간 존중)을 중심으로 하고 있음.</w:t>
      </w:r>
    </w:p>
    <w:p w:rsidR="00E97300" w:rsidRPr="00E77034" w:rsidRDefault="00E97300" w:rsidP="002142E8">
      <w:pPr>
        <w:wordWrap/>
        <w:spacing w:line="276" w:lineRule="auto"/>
      </w:pPr>
    </w:p>
    <w:p w:rsidR="0008245D" w:rsidRPr="00E77034" w:rsidRDefault="004F1617" w:rsidP="002142E8">
      <w:pPr>
        <w:wordWrap/>
        <w:spacing w:line="276" w:lineRule="auto"/>
      </w:pPr>
    </w:p>
    <w:p w:rsidR="004D3FBF" w:rsidRPr="00E77034" w:rsidRDefault="004D3FBF" w:rsidP="002142E8">
      <w:pPr>
        <w:wordWrap/>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발표자, 토론자별 발언내용</w:t>
      </w:r>
    </w:p>
    <w:p w:rsidR="004D3FBF" w:rsidRPr="001C088C" w:rsidRDefault="004D3FBF" w:rsidP="001C088C">
      <w:pPr>
        <w:spacing w:line="276" w:lineRule="auto"/>
        <w:ind w:leftChars="100" w:left="200"/>
        <w:rPr>
          <w:rFonts w:eastAsiaTheme="minorHAnsi"/>
          <w:sz w:val="22"/>
        </w:rPr>
      </w:pPr>
    </w:p>
    <w:p w:rsidR="001C088C" w:rsidRPr="001C088C" w:rsidRDefault="00E97300" w:rsidP="001C088C">
      <w:pPr>
        <w:pStyle w:val="a3"/>
        <w:spacing w:line="276" w:lineRule="auto"/>
        <w:ind w:leftChars="120" w:left="394" w:hangingChars="70" w:hanging="154"/>
        <w:rPr>
          <w:rFonts w:asciiTheme="minorHAnsi" w:eastAsiaTheme="minorHAnsi" w:hAnsiTheme="minorHAnsi"/>
          <w:b/>
          <w:sz w:val="22"/>
          <w:szCs w:val="22"/>
        </w:rPr>
      </w:pPr>
      <w:r w:rsidRPr="001C088C">
        <w:rPr>
          <w:rFonts w:asciiTheme="minorHAnsi" w:eastAsiaTheme="minorHAnsi" w:hAnsiTheme="minorHAnsi"/>
          <w:b/>
          <w:bCs/>
          <w:sz w:val="22"/>
          <w:szCs w:val="22"/>
        </w:rPr>
        <w:t xml:space="preserve">▲ </w:t>
      </w:r>
      <w:r w:rsidR="001C088C" w:rsidRPr="001C088C">
        <w:rPr>
          <w:rFonts w:asciiTheme="minorHAnsi" w:eastAsiaTheme="minorHAnsi" w:hAnsiTheme="minorHAnsi" w:hint="eastAsia"/>
          <w:b/>
          <w:sz w:val="22"/>
          <w:szCs w:val="22"/>
        </w:rPr>
        <w:t>사회자 최은수</w:t>
      </w:r>
      <w:r w:rsidR="001C088C" w:rsidRPr="001C088C">
        <w:rPr>
          <w:rFonts w:asciiTheme="minorHAnsi" w:eastAsiaTheme="minorHAnsi" w:hAnsiTheme="minorHAnsi" w:hint="eastAsia"/>
          <w:b/>
          <w:sz w:val="22"/>
        </w:rPr>
        <w:t xml:space="preserve"> (MBN 시사기획부 부장)</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firstLineChars="100" w:firstLine="220"/>
        <w:rPr>
          <w:rFonts w:eastAsiaTheme="minorHAnsi"/>
          <w:sz w:val="22"/>
        </w:rPr>
      </w:pPr>
      <w:r w:rsidRPr="001C088C">
        <w:rPr>
          <w:rFonts w:eastAsiaTheme="minorHAnsi" w:hint="eastAsia"/>
          <w:sz w:val="22"/>
        </w:rPr>
        <w:t>미국을 대표하는 포춘 기업의 평균수명 30년 어떻게 하면 지속 가능한 발전과 성장을 이루는가를 다루고자 한다. 실전 사례를 통해 알아보기 위해 ceo두분을 모심</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b/>
          <w:sz w:val="22"/>
        </w:rPr>
      </w:pPr>
      <w:r w:rsidRPr="001C088C">
        <w:rPr>
          <w:rFonts w:eastAsiaTheme="minorHAnsi"/>
          <w:b/>
          <w:bCs/>
          <w:sz w:val="22"/>
        </w:rPr>
        <w:t xml:space="preserve">▲ </w:t>
      </w:r>
      <w:r w:rsidRPr="001C088C">
        <w:rPr>
          <w:rFonts w:eastAsiaTheme="minorHAnsi" w:hint="eastAsia"/>
          <w:b/>
          <w:sz w:val="22"/>
        </w:rPr>
        <w:t>조동성 교수 : 지속경영의 글로벌 트랜드</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지속경영의 동향 글로벌시장은메인스트림화를 이루고 있음. 세계적으로 관행이 아닌 지속경영이 법제화 규격화되는 과정이며, 기업의 사회책임투자 증가에 대한 세가지 주제에 대해 초점을 두고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지속경영보고서 발간기업은 작년(2011)년 6,000개로 증가하였다. CEO들을 중심으로 기업의 사회적 책임에 대한 기대치가 점점 커져가고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법제화에 있어서 전세계의 모든 주식회사는 영업보고서를 작성하도록 하며, 상장회사는 영업보고서를 공개하게 되어있음. 지속경영 보고서는 사회, 환경, 경제적 성과를 동시에 보여주어야 한다. 미래지</w:t>
      </w:r>
      <w:r>
        <w:rPr>
          <w:rFonts w:eastAsiaTheme="minorHAnsi" w:hint="eastAsia"/>
          <w:sz w:val="22"/>
        </w:rPr>
        <w:t>향</w:t>
      </w:r>
      <w:r w:rsidRPr="001C088C">
        <w:rPr>
          <w:rFonts w:eastAsiaTheme="minorHAnsi" w:hint="eastAsia"/>
          <w:sz w:val="22"/>
        </w:rPr>
        <w:t>적인 국가와 기업에서는 법제화 해야 하는 것으로 보고 있다. 하지만 이런 국가는 몇 개 되지 않는다. 하지만, 중국은 2010년 의무화를 시작했으며, 한국에서는 아직은 의무가 아니지만 국제적인 활동을 하는 기업을 중심으로 상당수 보고서를 하나의 기회로써 작성하고 제출하고 있다.</w:t>
      </w:r>
      <w:r>
        <w:rPr>
          <w:rFonts w:eastAsiaTheme="minorHAnsi" w:hint="eastAsia"/>
          <w:sz w:val="22"/>
        </w:rPr>
        <w:t xml:space="preserve"> </w:t>
      </w:r>
      <w:r w:rsidRPr="001C088C">
        <w:rPr>
          <w:rFonts w:eastAsiaTheme="minorHAnsi" w:hint="eastAsia"/>
          <w:sz w:val="22"/>
        </w:rPr>
        <w:t>해외에서는 CRS을 규격화하는 ISO26000을 통해 구체화 하고 있다.</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사회적 책임을 강조하는 기업의 재무적 성과가 높을 것을 가정하고 이를 투자화 하는 현상이 보임. 한국은 SRI 시장이 2011년 기준 4조2천6백억 규모이며, 미</w:t>
      </w:r>
      <w:r w:rsidRPr="001C088C">
        <w:rPr>
          <w:rFonts w:eastAsiaTheme="minorHAnsi"/>
          <w:sz w:val="22"/>
        </w:rPr>
        <w:t>국의</w:t>
      </w:r>
      <w:r w:rsidRPr="001C088C">
        <w:rPr>
          <w:rFonts w:eastAsiaTheme="minorHAnsi" w:hint="eastAsia"/>
          <w:sz w:val="22"/>
        </w:rPr>
        <w:t xml:space="preserve"> 경우 SRI 시장은 2010년 3조 6백 90억 달러, 영국은 2010년 9천 3백 89억 파운드이다.</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SRI는 투자가치가 있다는 인식이 확산되고 사회책임 펀드가 급속화 되고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지속경영보고서의 일반적인 준칙은 아직은 확립되고 있지 않으나, 지속경영 보고서의 가이드라인은 나와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GRI가이드 라인은 TBL(Triple Bottom Line)을 중심으로 하고 있으며, OECD의 가이드 라인, Global Compact(UN)에서는 UN이 이끄는 기업의 자발적인 행동규범 준수를 약속하는 것이 중점</w:t>
      </w:r>
      <w:r w:rsidRPr="001C088C">
        <w:rPr>
          <w:rFonts w:eastAsiaTheme="minorHAnsi"/>
          <w:sz w:val="22"/>
        </w:rPr>
        <w:t>이</w:t>
      </w:r>
      <w:r w:rsidRPr="001C088C">
        <w:rPr>
          <w:rFonts w:eastAsiaTheme="minorHAnsi" w:hint="eastAsia"/>
          <w:sz w:val="22"/>
        </w:rPr>
        <w:t>다. UN의 Global Compact 에서는 10가지의 기업 준수 사항을 list-up하</w:t>
      </w:r>
      <w:r w:rsidRPr="001C088C">
        <w:rPr>
          <w:rFonts w:eastAsiaTheme="minorHAnsi" w:hint="eastAsia"/>
          <w:sz w:val="22"/>
        </w:rPr>
        <w:lastRenderedPageBreak/>
        <w:t xml:space="preserve">고 있음. </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가이드라인의 단점은 지금까지 가이드 라인을 제시한 단체가 NGO라는 것이며, 이는 NGO의 기업에 대한 부정적 이미지를 반영하고 있다. 즉, 잘못된 방법으로 돈을 버는 기업을 통제하여 올바른 방법으로 사업을 하도록 해야 한다는 것이다.</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 xml:space="preserve">이러한 지속경영 보고서의 가이드 라인은 잘못된 방향을 통제하는 기준을 통해서 만들었기 때문에 중소기업에게는 적용이 되지 않는 부분이 존재함. 대기업에게만 적용되는 기준을 모든 기업에게 적용하기가 무리 있다. </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산업정책연구원에서는 지식경제부와 함께 사회적 활동의 모든기업이 따를 수 있는 기본적인 준칙을 통해 TBL을 달성할 수 있는 가이드 라인을 작성하여 BEST(Business Ethics is the Source of Top performance Forum)라는 가이드 라인을 수립하였다.</w:t>
      </w:r>
      <w:r>
        <w:rPr>
          <w:rFonts w:eastAsiaTheme="minorHAnsi" w:hint="eastAsia"/>
          <w:sz w:val="22"/>
        </w:rPr>
        <w:t xml:space="preserve"> </w:t>
      </w:r>
      <w:r w:rsidRPr="001C088C">
        <w:rPr>
          <w:rFonts w:eastAsiaTheme="minorHAnsi" w:hint="eastAsia"/>
          <w:sz w:val="22"/>
        </w:rPr>
        <w:t>이 가이드 라인의 특징은 윤리경영, 기업의 사회적 책임, 환경보호, 지속경영발전을 포함하고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기존경영은 공장기계와 종업원을 다루고, 고객경영은 종업원, 소비자를 다루고 윤리경영은 소비자, 사회를 다루고 있고, 환경경영은 환경을 다루고 있으나, BEST에서는 이를 통합적으로 다루고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 xml:space="preserve">BEST가이드 라인의 핵심은 재무, 고객, 사회, 환경적 성과를 아울러 기존경영에 윤리, 혁신, 창조경영을 접목하여 제시하고 있음. 4가지의 프로세스(기존경영, 윤리, 혁신, 창조 경영)를 통해서 4가지의 목적(재무, 고객, 사회, 환경)을 달성하고자 하는 것이 </w:t>
      </w:r>
      <w:r>
        <w:rPr>
          <w:rFonts w:eastAsiaTheme="minorHAnsi" w:hint="eastAsia"/>
          <w:sz w:val="22"/>
        </w:rPr>
        <w:t>지향점</w:t>
      </w:r>
      <w:r w:rsidRPr="001C088C">
        <w:rPr>
          <w:rFonts w:eastAsiaTheme="minorHAnsi" w:hint="eastAsia"/>
          <w:sz w:val="22"/>
        </w:rPr>
        <w:t>임. 결과적으로 경영자를 지원하고 도와주는 것을 통해 TBL을 달성할 수 있게 해주는 것임. 또한 산업정책연구원과 지식경제부와 공동으로 지속경영대상을 6년동안 시상하고 있음.</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pStyle w:val="a4"/>
        <w:numPr>
          <w:ilvl w:val="0"/>
          <w:numId w:val="1"/>
        </w:numPr>
        <w:spacing w:line="276" w:lineRule="auto"/>
        <w:ind w:leftChars="300" w:left="960"/>
        <w:rPr>
          <w:rFonts w:eastAsiaTheme="minorHAnsi"/>
          <w:sz w:val="22"/>
        </w:rPr>
      </w:pPr>
      <w:r w:rsidRPr="001C088C">
        <w:rPr>
          <w:rFonts w:eastAsiaTheme="minorHAnsi" w:hint="eastAsia"/>
          <w:sz w:val="22"/>
        </w:rPr>
        <w:t>핵심사항 : 기존의 지속경영보고서 가이드라인은 기업을 통제하는 방향이며, 대기업 중심의 기준이었다면, BEST 가이드라인은 모든 기업을 대상으로 기업의 사회적 책임을 증가시키는 방향으로 제시되고 있음.</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지속경영보고서는 기업뿐만 아니라 개인 또는 가족까지 확대하여 적용해야 한다. 예를 들어, 가정에서 환경에 대해 전기, 물 절약 등의 어떤 활동을 하는가를 기술해야 함.</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lastRenderedPageBreak/>
        <w:t>과거 영업보고서에서 지속경영 보고서를 작성해야 하고, 재무적 성과 뿐만 아니라 사회적 책임 성과에도 신경을 기울여야한다.</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b/>
          <w:sz w:val="22"/>
        </w:rPr>
      </w:pPr>
      <w:r w:rsidRPr="001C088C">
        <w:rPr>
          <w:rFonts w:eastAsiaTheme="minorHAnsi"/>
          <w:b/>
          <w:bCs/>
          <w:sz w:val="22"/>
        </w:rPr>
        <w:t xml:space="preserve">▲ </w:t>
      </w:r>
      <w:r w:rsidRPr="001C088C">
        <w:rPr>
          <w:rFonts w:eastAsiaTheme="minorHAnsi" w:hint="eastAsia"/>
          <w:b/>
          <w:sz w:val="22"/>
        </w:rPr>
        <w:t>박태진</w:t>
      </w:r>
      <w:r>
        <w:rPr>
          <w:rFonts w:eastAsiaTheme="minorHAnsi" w:hint="eastAsia"/>
          <w:b/>
          <w:sz w:val="22"/>
        </w:rPr>
        <w:t xml:space="preserve"> 원장</w:t>
      </w:r>
      <w:r w:rsidRPr="001C088C">
        <w:rPr>
          <w:rFonts w:eastAsiaTheme="minorHAnsi" w:hint="eastAsia"/>
          <w:b/>
          <w:sz w:val="22"/>
        </w:rPr>
        <w:t xml:space="preserve"> : 한국 산업계의 현황</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글로벌 트랜드는 지속가능경영 국제기준의 강화를 통해서 본격화되고 있으며, Global Standard 강화, 사회적 책임 경영에 대한 평가 증가, 사회적 책임 기업에 대한 투자 증가가 핵심적인 트랜드임.</w:t>
      </w:r>
    </w:p>
    <w:p w:rsidR="001C088C" w:rsidRPr="001C088C" w:rsidRDefault="001C088C" w:rsidP="001C088C">
      <w:pPr>
        <w:spacing w:line="276" w:lineRule="auto"/>
        <w:ind w:leftChars="100" w:left="200"/>
        <w:rPr>
          <w:rFonts w:eastAsiaTheme="minorHAnsi"/>
          <w:sz w:val="22"/>
        </w:rPr>
      </w:pPr>
      <w:r w:rsidRPr="001C088C">
        <w:rPr>
          <w:rFonts w:eastAsiaTheme="minorHAnsi"/>
          <w:sz w:val="22"/>
        </w:rPr>
        <w:t>I</w:t>
      </w:r>
      <w:r w:rsidRPr="001C088C">
        <w:rPr>
          <w:rFonts w:eastAsiaTheme="minorHAnsi" w:hint="eastAsia"/>
          <w:sz w:val="22"/>
        </w:rPr>
        <w:t>SO26000은 2010년 11월에 발효가 되었으며, 많은 기업이 관심을 가지게 되었으나, 규제나 규범보다는 다소약한 개념으로 CEO들이 인식하게 되었음.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Global 100에 포스코 30위, 삼성전자 73위(2012년 발표), DJSI는 다우존</w:t>
      </w:r>
      <w:r>
        <w:rPr>
          <w:rFonts w:eastAsiaTheme="minorHAnsi" w:hint="eastAsia"/>
          <w:sz w:val="22"/>
        </w:rPr>
        <w:t>스</w:t>
      </w:r>
      <w:r w:rsidRPr="001C088C">
        <w:rPr>
          <w:rFonts w:eastAsiaTheme="minorHAnsi" w:hint="eastAsia"/>
          <w:sz w:val="22"/>
        </w:rPr>
        <w:t>지수 전세계 2500여개 기업을 대상으로 평가.</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인권경영의 도입도 관심이 많아지고 있으며,기업들은 인권을 존중해야 할 책임이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국내기업이 해외 진출한 경우에도 사회기여 활동을 통해 현지 참여를 하고 있음. LG같은 경우에는 8개의 M</w:t>
      </w:r>
      <w:r w:rsidRPr="001C088C">
        <w:rPr>
          <w:rFonts w:eastAsiaTheme="minorHAnsi"/>
          <w:sz w:val="22"/>
        </w:rPr>
        <w:t>illennium</w:t>
      </w:r>
      <w:r w:rsidRPr="001C088C">
        <w:rPr>
          <w:rFonts w:eastAsiaTheme="minorHAnsi" w:hint="eastAsia"/>
          <w:sz w:val="22"/>
        </w:rPr>
        <w:t xml:space="preserve"> Development 중 환경, 질병 퇴치에 많은 역할을 하고 있음. CSR의 확장 개념인 CSR+인 Bottom of Pyramid, 적정기술, 민간파트너십 사업, CSR과 ODA의 연계를 통해 확장되고 있음.</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지속가능경영보고서의 동향에 대해서는 리더그룹에 속한 국가의 대부분은 유럽국가들이며, 한국은 중국과 발전 기업으로 분류 되고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국내 기업의 지속경영 보고서를 발간한 동향을 보면 2003년부터 2009년 까지 증가세를 보이다가, 2010년부터 약간 감소세를 보임. 이는 ISO26000 발효가 강제사항이 아님을 보이는 것</w:t>
      </w:r>
      <w:r w:rsidRPr="001C088C">
        <w:rPr>
          <w:rFonts w:eastAsiaTheme="minorHAnsi"/>
          <w:sz w:val="22"/>
        </w:rPr>
        <w:t>으로</w:t>
      </w:r>
      <w:r w:rsidRPr="001C088C">
        <w:rPr>
          <w:rFonts w:eastAsiaTheme="minorHAnsi" w:hint="eastAsia"/>
          <w:sz w:val="22"/>
        </w:rPr>
        <w:t xml:space="preserve"> CEO들이 인식하기 때문인 것으로 보인다.</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국내의 경우 ISO26000에 대한 질문</w:t>
      </w:r>
      <w:r w:rsidRPr="001C088C">
        <w:rPr>
          <w:rFonts w:eastAsiaTheme="minorHAnsi"/>
          <w:sz w:val="22"/>
        </w:rPr>
        <w:t>과</w:t>
      </w:r>
      <w:r w:rsidRPr="001C088C">
        <w:rPr>
          <w:rFonts w:eastAsiaTheme="minorHAnsi" w:hint="eastAsia"/>
          <w:sz w:val="22"/>
        </w:rPr>
        <w:t xml:space="preserve"> 관련하여 어떻게 대응에 대한 준비를</w:t>
      </w:r>
      <w:r>
        <w:rPr>
          <w:rFonts w:eastAsiaTheme="minorHAnsi" w:hint="eastAsia"/>
          <w:sz w:val="22"/>
        </w:rPr>
        <w:t xml:space="preserve"> </w:t>
      </w:r>
      <w:r w:rsidRPr="001C088C">
        <w:rPr>
          <w:rFonts w:eastAsiaTheme="minorHAnsi" w:hint="eastAsia"/>
          <w:sz w:val="22"/>
        </w:rPr>
        <w:t>하고 있느냐는 질문에 대해 41%로 준비를 하고 있다고 답변하여 미약한 상황임.</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대기업은 국제적인 조류를 따르지만 아직 많은 기업은 그렇지 못하고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친환경제품 사용에 대한 일반시민의 반응은 사용하겠다 라고 했으며, 10~20% 가격이 비싸도 쓰겠다고 하는 답변이 많았음. 친환경제품을 쓰는 이유에 대해서는 세계 환경이나 사회적 기여 보다는 가족들의 건강을 위해서 였으며, 이는 소비자의 이기적 소비심리를 반영하는 것이라 할 수 있음.</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lastRenderedPageBreak/>
        <w:t>지속가능경영보고서의 동향은 통합보고서 형태이다. 즉, 재무적 성과와 비재무적 성과를 상호연계적인 특성을 담은 통합보고서 발간이다.</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b/>
          <w:sz w:val="22"/>
        </w:rPr>
      </w:pPr>
      <w:r w:rsidRPr="001C088C">
        <w:rPr>
          <w:rFonts w:eastAsiaTheme="minorHAnsi"/>
          <w:b/>
          <w:bCs/>
          <w:sz w:val="22"/>
        </w:rPr>
        <w:t xml:space="preserve">▲ </w:t>
      </w:r>
      <w:r w:rsidRPr="001C088C">
        <w:rPr>
          <w:rFonts w:eastAsiaTheme="minorHAnsi" w:hint="eastAsia"/>
          <w:b/>
          <w:sz w:val="22"/>
        </w:rPr>
        <w:t>최규복 대표 : Good to GREAT, Good to SMART</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 xml:space="preserve">유한킴벌리는 1970년부터 지속경영을 시작해오고 있다. 2012년 한국에서 가장 존경받는 기업 9년 연속 선정되었다. 새로운 지속경영 40년을 위해 비전 2020을 수립하였음. </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1984년 문국현 대표의 우리강산 푸르게 푸르게 캠페인을 지속발전 시키고, 저 출산 문제를 해결하기 위해 가족친화경영을 도입 이를 통해 건강한 성장을 위한 주요 사회 책임활동을 하고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우리강산 푸르게 푸르게를 통해 2012년 5,000만 그루의 나무를 심는 것이 목표임. 단순한 나무를 심고 가꾸는 것이 아니라 인간과 숲 공존을 통해 더 나은 생활을 향한 믿음을 실현하기 위한 활동이 목적임. 이를 통해 자연의 공간을 넘어 문화의 공간으로 발전 진화 시키는 것이 중점적 목표임.</w:t>
      </w:r>
      <w:r>
        <w:rPr>
          <w:rFonts w:eastAsiaTheme="minorHAnsi" w:hint="eastAsia"/>
          <w:sz w:val="22"/>
        </w:rPr>
        <w:t xml:space="preserve"> </w:t>
      </w:r>
      <w:r w:rsidRPr="001C088C">
        <w:rPr>
          <w:rFonts w:eastAsiaTheme="minorHAnsi" w:hint="eastAsia"/>
          <w:sz w:val="22"/>
        </w:rPr>
        <w:t>이를 달성하기 위해 전 직원의 참여를 독려하고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가족친화 경영은 경쟁력 없는 개인/조직인 일 중심의 삶을 혁신적으로 변화시킨 일과 삶의 조화, 통합을 통해 경쟁력 있는 개인/조직으로 전환하기 위한 것이 핵심 목표임.</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보상은 물질 및 가치의 조화, 업무는 스마트 워크 시간은 유연한 활동, 가족은 관계의 질 향상을 통해 일과 삶의 균형을 달성할 수 있는 구체적인 실행 계획을 가지고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가족친화 경영을 충실히 이행함으로써 건전한 가정을 만들고 건전한 사회의 바탕이 될 수 있음. 이를 달성하기 위해 복지를 넘어선 사회적 문제를 해결하기 위한 동기를 가지고 가족친화 경영을 추진하고 있음.</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1990년대부터 시작한 평생학습 체제를 시작으로 2020년 비전은 일과 삶의 조화 지원을 통한 가족친화문화 조성이다. 이는 도전과 창의를 구현하는 기반으로 작용하고 있다.</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구체적인 활동으로는 스마트워크를 추진하고 있으며, community, work, life의 균형을 이루는 것이 핵심이며, 업무몰입도 증진, 생산성향상, 안전사고 예방, 도전적 창의적 업무 수행인 work와 가족몰입도 증진, 가족관계 질 향상인 life의 균형을 이루고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궁극적으로는 직장, 개인, 삶의 조화를 통한 건전한 가정 사회를 통해 저출산 문제를 해결하는 것으로 작용될 수 있다.</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스마트 오피스는 비전 2020의 새로운 기업문화, Communications, 혁신/창의, 일과 삶의 조화, 협업을 달성하는 것의 사례적 활동임.</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스마트 오피스는 열린 사무공간, 변동좌석제, 프리존(Freezone)이며, 이를 통해 효율적 공간을 활용할 수 있으며(회의실, 자유업무공간, 개인업무공간, 모성보호 공간, 샤워실 확보), 환경친화 실현(종이 없는 사무실, 이산화탄소 배출량 감소)이 가능하게 됨.</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7시 30분에는 전 층이 소등이 되면서 빠른 퇴근을 유도하고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커피숍 같은 공간, 도서관 같은 열린 공간, 기존 칸막이가 있는 집중 업무공간으로 세분화하여 업무의 효율성을 높임. 이를 통해 사무실에 개별 선풍기나 난방기가 사라지고, 종이 없는 공간으로 발전됨.</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좌석점유율 사원 46%, 회의실 54%, 임원좌석은 35% 임. 6.5개층을 5.5 개층으로 축소했으면서도 공간의 효율성은 좋음.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1990년 flexible time, 2011~ flexible space, 3</w:t>
      </w:r>
      <w:r w:rsidRPr="001C088C">
        <w:rPr>
          <w:rFonts w:eastAsiaTheme="minorHAnsi" w:hint="eastAsia"/>
          <w:sz w:val="22"/>
          <w:vertAlign w:val="superscript"/>
        </w:rPr>
        <w:t>rd</w:t>
      </w:r>
      <w:r w:rsidRPr="001C088C">
        <w:rPr>
          <w:rFonts w:eastAsiaTheme="minorHAnsi" w:hint="eastAsia"/>
          <w:sz w:val="22"/>
        </w:rPr>
        <w:t xml:space="preserve"> flexible resources(인력자원, 조직, 가상의 작업공간)을 통해서 조직측면에서</w:t>
      </w:r>
      <w:r w:rsidRPr="001C088C">
        <w:rPr>
          <w:rFonts w:eastAsiaTheme="minorHAnsi"/>
          <w:sz w:val="22"/>
        </w:rPr>
        <w:t>의</w:t>
      </w:r>
      <w:r w:rsidRPr="001C088C">
        <w:rPr>
          <w:rFonts w:eastAsiaTheme="minorHAnsi" w:hint="eastAsia"/>
          <w:sz w:val="22"/>
        </w:rPr>
        <w:t xml:space="preserve"> 지속경영을 이루고자 함.</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결과적으로 우리강산 푸르게 푸르게와 가족친화 경영을 통해서 착하면서도 강한 기업을 만들고자 함.</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b/>
          <w:sz w:val="22"/>
        </w:rPr>
      </w:pPr>
      <w:r w:rsidRPr="001C088C">
        <w:rPr>
          <w:rFonts w:eastAsiaTheme="minorHAnsi"/>
          <w:b/>
          <w:bCs/>
          <w:sz w:val="22"/>
        </w:rPr>
        <w:t xml:space="preserve">▲ </w:t>
      </w:r>
      <w:r w:rsidRPr="001C088C">
        <w:rPr>
          <w:rFonts w:eastAsiaTheme="minorHAnsi" w:hint="eastAsia"/>
          <w:b/>
          <w:sz w:val="22"/>
        </w:rPr>
        <w:t>임정택 대표 : sustainable growth through core values and innovations</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2012년 210년의 역사를 가지고 있는 듀폰이</w:t>
      </w:r>
      <w:r>
        <w:rPr>
          <w:rFonts w:eastAsiaTheme="minorHAnsi" w:hint="eastAsia"/>
          <w:sz w:val="22"/>
        </w:rPr>
        <w:t xml:space="preserve"> </w:t>
      </w:r>
      <w:r w:rsidRPr="001C088C">
        <w:rPr>
          <w:rFonts w:eastAsiaTheme="minorHAnsi" w:hint="eastAsia"/>
          <w:sz w:val="22"/>
        </w:rPr>
        <w:t>210년의 듀폰 역사를 이룰 수 있었던 것은 어떤</w:t>
      </w:r>
      <w:r>
        <w:rPr>
          <w:rFonts w:eastAsiaTheme="minorHAnsi" w:hint="eastAsia"/>
          <w:sz w:val="22"/>
        </w:rPr>
        <w:t xml:space="preserve"> </w:t>
      </w:r>
      <w:r w:rsidRPr="001C088C">
        <w:rPr>
          <w:rFonts w:eastAsiaTheme="minorHAnsi" w:hint="eastAsia"/>
          <w:sz w:val="22"/>
        </w:rPr>
        <w:t>것이고, 미래를 어떻게 설계해야 하는 지를 중심으로 설명.</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듀폰의 비전은 인류의 보다</w:t>
      </w:r>
      <w:r>
        <w:rPr>
          <w:rFonts w:eastAsiaTheme="minorHAnsi" w:hint="eastAsia"/>
          <w:sz w:val="22"/>
        </w:rPr>
        <w:t xml:space="preserve"> </w:t>
      </w:r>
      <w:r w:rsidRPr="001C088C">
        <w:rPr>
          <w:rFonts w:eastAsiaTheme="minorHAnsi" w:hint="eastAsia"/>
          <w:sz w:val="22"/>
        </w:rPr>
        <w:t>나은 안전한 건강하고 지속적인 제품을 제공하는 것이다.듀폰은 1802년에 설립된 회사이며, 40명으로 시작했으며 2012년 현재 70,000여명이며, 210개 sites와 90개 국가에서 운영되고 있다.</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듀폰이 한국에 들어온 것은 35년 전이며, 7억 달러의 매출을 달성하고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처음의 100년은 화약사업을 중심으로 진행하고 있었으며, 1920년부터 1990년에는 성장기로써 chemistry, energy이며, 이후 미래는 biology, chemistry, materials science, NANO science임.</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3가지 부분의 비즈니스 포트폴리오인 식량(food), 에너지(Energy), Protection을 중점적</w:t>
      </w:r>
      <w:r w:rsidRPr="001C088C">
        <w:rPr>
          <w:rFonts w:eastAsiaTheme="minorHAnsi" w:hint="eastAsia"/>
          <w:sz w:val="22"/>
        </w:rPr>
        <w:lastRenderedPageBreak/>
        <w:t xml:space="preserve">으로 운영관리하고자 함. </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인류를 위한 식량 개발, bio fuels의 개발, 대체에너지개발, 보호(Protection)은 인간, 환경 보호를 중심으로 한 제품을 개발하고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이런 세가지 메가 트랜드를 세계 모든 직원이 공유하고 global resource를 집중하고 있음 이를 통해 지속가능 경영을 이루는 것이 큰 틀임.</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9,500명의 세계적인 과학자를 중심으로 2011년 2 Billion 달러의 R&amp;D비용을 사용하고 있음.</w:t>
      </w: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 xml:space="preserve">2011년부터 Innovation </w:t>
      </w:r>
      <w:r w:rsidRPr="001C088C">
        <w:rPr>
          <w:rFonts w:eastAsiaTheme="minorHAnsi"/>
          <w:sz w:val="22"/>
        </w:rPr>
        <w:t>center를</w:t>
      </w:r>
      <w:r w:rsidRPr="001C088C">
        <w:rPr>
          <w:rFonts w:eastAsiaTheme="minorHAnsi" w:hint="eastAsia"/>
          <w:sz w:val="22"/>
        </w:rPr>
        <w:t xml:space="preserve"> 중심으로 고객과 빠른 communication을 시도하고 있음. 9,500명의 과학자가 빠른 대응을 통해 문제를 해결할 수 있는 infra를 구축하고 있음. 한국이 첫번째 innovation center의 대상이며, 타이완, Thailand, 인디아 등으로 확장하고 있음.</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210년의 지속경영의 근간은 듀폰의</w:t>
      </w:r>
      <w:r>
        <w:rPr>
          <w:rFonts w:eastAsiaTheme="minorHAnsi" w:hint="eastAsia"/>
          <w:sz w:val="22"/>
        </w:rPr>
        <w:t xml:space="preserve"> </w:t>
      </w:r>
      <w:r w:rsidRPr="001C088C">
        <w:rPr>
          <w:rFonts w:eastAsiaTheme="minorHAnsi" w:hint="eastAsia"/>
          <w:sz w:val="22"/>
        </w:rPr>
        <w:t>핵심가치(core values)에 있음. 이는 safety and health(안전과 건강), environmental stewardship(환경적 책무), highest ethical behavior(윤리경영), respect for people(인간 존중)임. 듀폰은 이를 재무적 성과보다 더 중요하게 다루고 있음.</w:t>
      </w:r>
    </w:p>
    <w:p w:rsidR="001C088C" w:rsidRPr="001C088C" w:rsidRDefault="001C088C" w:rsidP="001C088C">
      <w:pPr>
        <w:spacing w:line="276" w:lineRule="auto"/>
        <w:ind w:leftChars="100" w:left="200"/>
        <w:rPr>
          <w:rFonts w:eastAsiaTheme="minorHAnsi"/>
          <w:sz w:val="22"/>
        </w:rPr>
      </w:pPr>
    </w:p>
    <w:p w:rsidR="001C088C" w:rsidRPr="001C088C" w:rsidRDefault="001C088C" w:rsidP="001C088C">
      <w:pPr>
        <w:spacing w:line="276" w:lineRule="auto"/>
        <w:ind w:leftChars="100" w:left="200"/>
        <w:rPr>
          <w:rFonts w:eastAsiaTheme="minorHAnsi"/>
          <w:sz w:val="22"/>
        </w:rPr>
      </w:pPr>
      <w:r w:rsidRPr="001C088C">
        <w:rPr>
          <w:rFonts w:eastAsiaTheme="minorHAnsi" w:hint="eastAsia"/>
          <w:sz w:val="22"/>
        </w:rPr>
        <w:t>듀폰의 미션은 sustainable growth이며, 지속가능 경영이다. 이를 통해 앞으로의 200년을 설계하고 인류의 문제를 해결해나갈 것이고, 이를 위한 바탕에 듀폰의 핵심가치가 있다.</w:t>
      </w:r>
    </w:p>
    <w:p w:rsidR="00E97300" w:rsidRPr="001C088C" w:rsidRDefault="00E97300" w:rsidP="002142E8">
      <w:pPr>
        <w:pStyle w:val="a3"/>
        <w:spacing w:line="276" w:lineRule="auto"/>
        <w:ind w:left="408" w:hanging="408"/>
        <w:rPr>
          <w:rFonts w:asciiTheme="majorHAnsi" w:eastAsiaTheme="majorHAnsi" w:hAnsiTheme="majorHAnsi"/>
        </w:rPr>
      </w:pPr>
    </w:p>
    <w:sectPr w:rsidR="00E97300" w:rsidRPr="001C088C" w:rsidSect="00343357">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617" w:rsidRDefault="004F1617" w:rsidP="005D16CA">
      <w:r>
        <w:separator/>
      </w:r>
    </w:p>
  </w:endnote>
  <w:endnote w:type="continuationSeparator" w:id="1">
    <w:p w:rsidR="004F1617" w:rsidRDefault="004F1617" w:rsidP="005D16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둥근헤드라인">
    <w:panose1 w:val="02030504000101010101"/>
    <w:charset w:val="81"/>
    <w:family w:val="roman"/>
    <w:pitch w:val="variable"/>
    <w:sig w:usb0="800002A7" w:usb1="09D77CFB"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휴먼모음T">
    <w:panose1 w:val="02030504000101010101"/>
    <w:charset w:val="81"/>
    <w:family w:val="roman"/>
    <w:pitch w:val="variable"/>
    <w:sig w:usb0="800002A7" w:usb1="29D77CFB"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3176"/>
      <w:docPartObj>
        <w:docPartGallery w:val="Page Numbers (Bottom of Page)"/>
        <w:docPartUnique/>
      </w:docPartObj>
    </w:sdtPr>
    <w:sdtContent>
      <w:p w:rsidR="00EA4541" w:rsidRDefault="00851313">
        <w:pPr>
          <w:pStyle w:val="a6"/>
          <w:jc w:val="center"/>
        </w:pPr>
        <w:fldSimple w:instr=" PAGE   \* MERGEFORMAT ">
          <w:r w:rsidR="00ED57AF" w:rsidRPr="00ED57AF">
            <w:rPr>
              <w:noProof/>
              <w:lang w:val="ko-KR"/>
            </w:rPr>
            <w:t>1</w:t>
          </w:r>
        </w:fldSimple>
      </w:p>
    </w:sdtContent>
  </w:sdt>
  <w:p w:rsidR="00EA4541" w:rsidRDefault="00EA45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617" w:rsidRDefault="004F1617" w:rsidP="005D16CA">
      <w:r>
        <w:separator/>
      </w:r>
    </w:p>
  </w:footnote>
  <w:footnote w:type="continuationSeparator" w:id="1">
    <w:p w:rsidR="004F1617" w:rsidRDefault="004F1617" w:rsidP="005D1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7AB8"/>
    <w:multiLevelType w:val="hybridMultilevel"/>
    <w:tmpl w:val="D24061F4"/>
    <w:lvl w:ilvl="0" w:tplc="F69C3F2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FBF"/>
    <w:rsid w:val="00090BAB"/>
    <w:rsid w:val="00094818"/>
    <w:rsid w:val="0011409D"/>
    <w:rsid w:val="00180346"/>
    <w:rsid w:val="001C088C"/>
    <w:rsid w:val="002142E8"/>
    <w:rsid w:val="0030169F"/>
    <w:rsid w:val="00343357"/>
    <w:rsid w:val="003C0E1F"/>
    <w:rsid w:val="00434663"/>
    <w:rsid w:val="004445BD"/>
    <w:rsid w:val="004A5984"/>
    <w:rsid w:val="004D3FBF"/>
    <w:rsid w:val="004F1617"/>
    <w:rsid w:val="005334AB"/>
    <w:rsid w:val="00573817"/>
    <w:rsid w:val="00587703"/>
    <w:rsid w:val="005D16CA"/>
    <w:rsid w:val="00664520"/>
    <w:rsid w:val="007547CF"/>
    <w:rsid w:val="007E598E"/>
    <w:rsid w:val="00805328"/>
    <w:rsid w:val="00830EF8"/>
    <w:rsid w:val="00851313"/>
    <w:rsid w:val="00855549"/>
    <w:rsid w:val="009D48F3"/>
    <w:rsid w:val="00AE0541"/>
    <w:rsid w:val="00B360A9"/>
    <w:rsid w:val="00D2125D"/>
    <w:rsid w:val="00D6164F"/>
    <w:rsid w:val="00DE4E26"/>
    <w:rsid w:val="00E442C8"/>
    <w:rsid w:val="00E77034"/>
    <w:rsid w:val="00E97300"/>
    <w:rsid w:val="00EA4541"/>
    <w:rsid w:val="00ED57A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5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D3FBF"/>
    <w:pPr>
      <w:snapToGrid w:val="0"/>
      <w:spacing w:line="384" w:lineRule="auto"/>
      <w:textAlignment w:val="baseline"/>
    </w:pPr>
    <w:rPr>
      <w:rFonts w:ascii="굴림" w:eastAsia="굴림" w:hAnsi="굴림" w:cs="굴림"/>
      <w:color w:val="000000"/>
      <w:kern w:val="0"/>
      <w:szCs w:val="20"/>
    </w:rPr>
  </w:style>
  <w:style w:type="paragraph" w:styleId="a4">
    <w:name w:val="List Paragraph"/>
    <w:basedOn w:val="a"/>
    <w:uiPriority w:val="34"/>
    <w:qFormat/>
    <w:rsid w:val="004D3FBF"/>
    <w:pPr>
      <w:ind w:leftChars="400" w:left="800"/>
    </w:pPr>
  </w:style>
  <w:style w:type="paragraph" w:customStyle="1" w:styleId="MS">
    <w:name w:val="MS바탕글"/>
    <w:basedOn w:val="a"/>
    <w:rsid w:val="00E97300"/>
    <w:pPr>
      <w:textAlignment w:val="baseline"/>
    </w:pPr>
    <w:rPr>
      <w:rFonts w:ascii="굴림" w:eastAsia="굴림" w:hAnsi="굴림" w:cs="굴림"/>
      <w:color w:val="000000"/>
      <w:kern w:val="0"/>
      <w:szCs w:val="20"/>
    </w:rPr>
  </w:style>
  <w:style w:type="paragraph" w:styleId="a5">
    <w:name w:val="header"/>
    <w:basedOn w:val="a"/>
    <w:link w:val="Char"/>
    <w:uiPriority w:val="99"/>
    <w:semiHidden/>
    <w:unhideWhenUsed/>
    <w:rsid w:val="005D16CA"/>
    <w:pPr>
      <w:tabs>
        <w:tab w:val="center" w:pos="4513"/>
        <w:tab w:val="right" w:pos="9026"/>
      </w:tabs>
      <w:snapToGrid w:val="0"/>
    </w:pPr>
  </w:style>
  <w:style w:type="character" w:customStyle="1" w:styleId="Char">
    <w:name w:val="머리글 Char"/>
    <w:basedOn w:val="a0"/>
    <w:link w:val="a5"/>
    <w:uiPriority w:val="99"/>
    <w:semiHidden/>
    <w:rsid w:val="005D16CA"/>
  </w:style>
  <w:style w:type="paragraph" w:styleId="a6">
    <w:name w:val="footer"/>
    <w:basedOn w:val="a"/>
    <w:link w:val="Char0"/>
    <w:uiPriority w:val="99"/>
    <w:unhideWhenUsed/>
    <w:rsid w:val="005D16CA"/>
    <w:pPr>
      <w:tabs>
        <w:tab w:val="center" w:pos="4513"/>
        <w:tab w:val="right" w:pos="9026"/>
      </w:tabs>
      <w:snapToGrid w:val="0"/>
    </w:pPr>
  </w:style>
  <w:style w:type="character" w:customStyle="1" w:styleId="Char0">
    <w:name w:val="바닥글 Char"/>
    <w:basedOn w:val="a0"/>
    <w:link w:val="a6"/>
    <w:uiPriority w:val="99"/>
    <w:rsid w:val="005D16CA"/>
  </w:style>
</w:styles>
</file>

<file path=word/webSettings.xml><?xml version="1.0" encoding="utf-8"?>
<w:webSettings xmlns:r="http://schemas.openxmlformats.org/officeDocument/2006/relationships" xmlns:w="http://schemas.openxmlformats.org/wordprocessingml/2006/main">
  <w:divs>
    <w:div w:id="4524772">
      <w:bodyDiv w:val="1"/>
      <w:marLeft w:val="0"/>
      <w:marRight w:val="0"/>
      <w:marTop w:val="0"/>
      <w:marBottom w:val="0"/>
      <w:divBdr>
        <w:top w:val="none" w:sz="0" w:space="0" w:color="auto"/>
        <w:left w:val="none" w:sz="0" w:space="0" w:color="auto"/>
        <w:bottom w:val="none" w:sz="0" w:space="0" w:color="auto"/>
        <w:right w:val="none" w:sz="0" w:space="0" w:color="auto"/>
      </w:divBdr>
    </w:div>
    <w:div w:id="40515728">
      <w:bodyDiv w:val="1"/>
      <w:marLeft w:val="0"/>
      <w:marRight w:val="0"/>
      <w:marTop w:val="0"/>
      <w:marBottom w:val="0"/>
      <w:divBdr>
        <w:top w:val="none" w:sz="0" w:space="0" w:color="auto"/>
        <w:left w:val="none" w:sz="0" w:space="0" w:color="auto"/>
        <w:bottom w:val="none" w:sz="0" w:space="0" w:color="auto"/>
        <w:right w:val="none" w:sz="0" w:space="0" w:color="auto"/>
      </w:divBdr>
    </w:div>
    <w:div w:id="118768230">
      <w:bodyDiv w:val="1"/>
      <w:marLeft w:val="0"/>
      <w:marRight w:val="0"/>
      <w:marTop w:val="0"/>
      <w:marBottom w:val="0"/>
      <w:divBdr>
        <w:top w:val="none" w:sz="0" w:space="0" w:color="auto"/>
        <w:left w:val="none" w:sz="0" w:space="0" w:color="auto"/>
        <w:bottom w:val="none" w:sz="0" w:space="0" w:color="auto"/>
        <w:right w:val="none" w:sz="0" w:space="0" w:color="auto"/>
      </w:divBdr>
    </w:div>
    <w:div w:id="369494360">
      <w:bodyDiv w:val="1"/>
      <w:marLeft w:val="0"/>
      <w:marRight w:val="0"/>
      <w:marTop w:val="0"/>
      <w:marBottom w:val="0"/>
      <w:divBdr>
        <w:top w:val="none" w:sz="0" w:space="0" w:color="auto"/>
        <w:left w:val="none" w:sz="0" w:space="0" w:color="auto"/>
        <w:bottom w:val="none" w:sz="0" w:space="0" w:color="auto"/>
        <w:right w:val="none" w:sz="0" w:space="0" w:color="auto"/>
      </w:divBdr>
    </w:div>
    <w:div w:id="708454875">
      <w:bodyDiv w:val="1"/>
      <w:marLeft w:val="0"/>
      <w:marRight w:val="0"/>
      <w:marTop w:val="0"/>
      <w:marBottom w:val="0"/>
      <w:divBdr>
        <w:top w:val="none" w:sz="0" w:space="0" w:color="auto"/>
        <w:left w:val="none" w:sz="0" w:space="0" w:color="auto"/>
        <w:bottom w:val="none" w:sz="0" w:space="0" w:color="auto"/>
        <w:right w:val="none" w:sz="0" w:space="0" w:color="auto"/>
      </w:divBdr>
    </w:div>
    <w:div w:id="817842613">
      <w:bodyDiv w:val="1"/>
      <w:marLeft w:val="0"/>
      <w:marRight w:val="0"/>
      <w:marTop w:val="0"/>
      <w:marBottom w:val="0"/>
      <w:divBdr>
        <w:top w:val="none" w:sz="0" w:space="0" w:color="auto"/>
        <w:left w:val="none" w:sz="0" w:space="0" w:color="auto"/>
        <w:bottom w:val="none" w:sz="0" w:space="0" w:color="auto"/>
        <w:right w:val="none" w:sz="0" w:space="0" w:color="auto"/>
      </w:divBdr>
    </w:div>
    <w:div w:id="1069765375">
      <w:bodyDiv w:val="1"/>
      <w:marLeft w:val="0"/>
      <w:marRight w:val="0"/>
      <w:marTop w:val="0"/>
      <w:marBottom w:val="0"/>
      <w:divBdr>
        <w:top w:val="none" w:sz="0" w:space="0" w:color="auto"/>
        <w:left w:val="none" w:sz="0" w:space="0" w:color="auto"/>
        <w:bottom w:val="none" w:sz="0" w:space="0" w:color="auto"/>
        <w:right w:val="none" w:sz="0" w:space="0" w:color="auto"/>
      </w:divBdr>
    </w:div>
    <w:div w:id="1076440257">
      <w:bodyDiv w:val="1"/>
      <w:marLeft w:val="0"/>
      <w:marRight w:val="0"/>
      <w:marTop w:val="0"/>
      <w:marBottom w:val="0"/>
      <w:divBdr>
        <w:top w:val="none" w:sz="0" w:space="0" w:color="auto"/>
        <w:left w:val="none" w:sz="0" w:space="0" w:color="auto"/>
        <w:bottom w:val="none" w:sz="0" w:space="0" w:color="auto"/>
        <w:right w:val="none" w:sz="0" w:space="0" w:color="auto"/>
      </w:divBdr>
    </w:div>
    <w:div w:id="1132868762">
      <w:bodyDiv w:val="1"/>
      <w:marLeft w:val="0"/>
      <w:marRight w:val="0"/>
      <w:marTop w:val="0"/>
      <w:marBottom w:val="0"/>
      <w:divBdr>
        <w:top w:val="none" w:sz="0" w:space="0" w:color="auto"/>
        <w:left w:val="none" w:sz="0" w:space="0" w:color="auto"/>
        <w:bottom w:val="none" w:sz="0" w:space="0" w:color="auto"/>
        <w:right w:val="none" w:sz="0" w:space="0" w:color="auto"/>
      </w:divBdr>
    </w:div>
    <w:div w:id="1258557660">
      <w:bodyDiv w:val="1"/>
      <w:marLeft w:val="0"/>
      <w:marRight w:val="0"/>
      <w:marTop w:val="0"/>
      <w:marBottom w:val="0"/>
      <w:divBdr>
        <w:top w:val="none" w:sz="0" w:space="0" w:color="auto"/>
        <w:left w:val="none" w:sz="0" w:space="0" w:color="auto"/>
        <w:bottom w:val="none" w:sz="0" w:space="0" w:color="auto"/>
        <w:right w:val="none" w:sz="0" w:space="0" w:color="auto"/>
      </w:divBdr>
    </w:div>
    <w:div w:id="1260335204">
      <w:bodyDiv w:val="1"/>
      <w:marLeft w:val="0"/>
      <w:marRight w:val="0"/>
      <w:marTop w:val="0"/>
      <w:marBottom w:val="0"/>
      <w:divBdr>
        <w:top w:val="none" w:sz="0" w:space="0" w:color="auto"/>
        <w:left w:val="none" w:sz="0" w:space="0" w:color="auto"/>
        <w:bottom w:val="none" w:sz="0" w:space="0" w:color="auto"/>
        <w:right w:val="none" w:sz="0" w:space="0" w:color="auto"/>
      </w:divBdr>
    </w:div>
    <w:div w:id="1314407292">
      <w:bodyDiv w:val="1"/>
      <w:marLeft w:val="0"/>
      <w:marRight w:val="0"/>
      <w:marTop w:val="0"/>
      <w:marBottom w:val="0"/>
      <w:divBdr>
        <w:top w:val="none" w:sz="0" w:space="0" w:color="auto"/>
        <w:left w:val="none" w:sz="0" w:space="0" w:color="auto"/>
        <w:bottom w:val="none" w:sz="0" w:space="0" w:color="auto"/>
        <w:right w:val="none" w:sz="0" w:space="0" w:color="auto"/>
      </w:divBdr>
    </w:div>
    <w:div w:id="1584756740">
      <w:bodyDiv w:val="1"/>
      <w:marLeft w:val="0"/>
      <w:marRight w:val="0"/>
      <w:marTop w:val="0"/>
      <w:marBottom w:val="0"/>
      <w:divBdr>
        <w:top w:val="none" w:sz="0" w:space="0" w:color="auto"/>
        <w:left w:val="none" w:sz="0" w:space="0" w:color="auto"/>
        <w:bottom w:val="none" w:sz="0" w:space="0" w:color="auto"/>
        <w:right w:val="none" w:sz="0" w:space="0" w:color="auto"/>
      </w:divBdr>
    </w:div>
    <w:div w:id="1786388963">
      <w:bodyDiv w:val="1"/>
      <w:marLeft w:val="0"/>
      <w:marRight w:val="0"/>
      <w:marTop w:val="0"/>
      <w:marBottom w:val="0"/>
      <w:divBdr>
        <w:top w:val="none" w:sz="0" w:space="0" w:color="auto"/>
        <w:left w:val="none" w:sz="0" w:space="0" w:color="auto"/>
        <w:bottom w:val="none" w:sz="0" w:space="0" w:color="auto"/>
        <w:right w:val="none" w:sz="0" w:space="0" w:color="auto"/>
      </w:divBdr>
    </w:div>
    <w:div w:id="20678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AAA6-B831-473F-ADDF-A875B13B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1018</Words>
  <Characters>5808</Characters>
  <Application>Microsoft Office Word</Application>
  <DocSecurity>0</DocSecurity>
  <Lines>48</Lines>
  <Paragraphs>13</Paragraphs>
  <ScaleCrop>false</ScaleCrop>
  <Company>Samsung Electronics</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3</cp:revision>
  <dcterms:created xsi:type="dcterms:W3CDTF">2012-06-01T09:10:00Z</dcterms:created>
  <dcterms:modified xsi:type="dcterms:W3CDTF">2012-06-01T09:10:00Z</dcterms:modified>
</cp:coreProperties>
</file>